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docs-internal-guid-467d7558-7fff-e30d-d8"/>
      <w:bookmarkEnd w:id="0"/>
      <w:r>
        <w:rPr>
          <w:rFonts w:ascii="Calibri" w:hAnsi="Calibri"/>
          <w:b/>
          <w:bCs/>
          <w:sz w:val="22"/>
          <w:szCs w:val="22"/>
          <w:u w:val="single"/>
          <w:shd w:fill="FFFFFF" w:val="clear"/>
        </w:rPr>
        <w:t xml:space="preserve">ANEXO I - </w:t>
      </w:r>
      <w:r>
        <w:rPr>
          <w:rFonts w:ascii="Calibri" w:hAnsi="Calibri"/>
          <w:b/>
          <w:bCs/>
          <w:sz w:val="22"/>
          <w:szCs w:val="22"/>
          <w:u w:val="single"/>
          <w:shd w:fill="auto" w:val="clear"/>
        </w:rPr>
        <w:t xml:space="preserve">CRITÉRIOS DE AVALIAÇÃO </w:t>
      </w:r>
      <w:r>
        <w:rPr>
          <w:rFonts w:ascii="Calibri" w:hAnsi="Calibri"/>
          <w:b/>
          <w:bCs/>
          <w:sz w:val="22"/>
          <w:szCs w:val="22"/>
          <w:u w:val="single"/>
          <w:shd w:fill="FFFFFF" w:val="clear"/>
        </w:rPr>
        <w:t>E BÔNUS DE PONTUAÇÃO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bidi w:val="0"/>
        <w:ind w:hanging="0" w:left="0" w:right="9"/>
        <w:rPr>
          <w:rFonts w:ascii="Calibri" w:hAnsi="Calibri"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1 - Critérios de Mérito Cultural e Capacidade Técnica</w:t>
      </w:r>
    </w:p>
    <w:p>
      <w:pPr>
        <w:pStyle w:val="BodyText"/>
        <w:bidi w:val="0"/>
        <w:ind w:hanging="0" w:left="0" w:right="9"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 w:val="false"/>
          <w:bCs w:val="false"/>
          <w:sz w:val="22"/>
          <w:szCs w:val="22"/>
          <w:highlight w:val="white"/>
          <w:shd w:fill="auto" w:val="clear"/>
        </w:rPr>
        <w:t>O presente anexo estabelece os critérios de avaliação que serão utilizados para a seleção e premiação de Grupos de Quadrilhas Juninas de Fortaleza com base em suas trajetórias socioculturais, artísticas e comunitárias. Os critérios consideram as especificidades da cultura junina local, seu papel na formação cidadã, mobilização comunitária, fortalecimento da identidade cultural e impacto na economia criativa da cidade.</w:t>
      </w:r>
    </w:p>
    <w:tbl>
      <w:tblPr>
        <w:tblW w:w="9922" w:type="dxa"/>
        <w:jc w:val="left"/>
        <w:tblInd w:w="-54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807"/>
        <w:gridCol w:w="3053"/>
        <w:gridCol w:w="3633"/>
        <w:gridCol w:w="989"/>
        <w:gridCol w:w="1440"/>
      </w:tblGrid>
      <w:tr>
        <w:trPr/>
        <w:tc>
          <w:tcPr>
            <w:tcW w:w="3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I - QUALIDADE DA PROPOSTA</w:t>
            </w: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A análise deverá considerar, para fins de avaliação e valoração, se o conteúdo do proponente apresenta como um todo coerência, observando o objeto, a justificativa e as metas, sendo possível visualizar de forma clara os resultados que serão obtidos.</w:t>
            </w:r>
          </w:p>
        </w:tc>
      </w:tr>
      <w:tr>
        <w:trPr/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ITEM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DESCRIÇÃO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PONTUAÇÃO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PESO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TOTAL</w:t>
            </w:r>
          </w:p>
        </w:tc>
      </w:tr>
      <w:tr>
        <w:trPr/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a)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both"/>
              <w:rPr/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Contribuição Cultural e Identitária: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Contribuição da Quadrilha Junina para o fortalecimento da identidade cultural e territorial de Fortaleza, valorização das festas juninas e salvaguarda das tradições da cultura popular local.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20</w:t>
            </w:r>
          </w:p>
        </w:tc>
      </w:tr>
      <w:tr>
        <w:trPr/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b)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 xml:space="preserve">Impacto Comunitário e Econômico: 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>Participação ativa na comunidade e geração de renda por meio da cadeia produtiva envolvida (costura, cenografia, música, maquiagem, etc.).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20</w:t>
            </w:r>
          </w:p>
        </w:tc>
      </w:tr>
      <w:tr>
        <w:trPr/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c)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both"/>
              <w:rPr/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 xml:space="preserve">Legado Intergeracional e Formação Cultural: 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>Envolvimento de diferentes gerações, formação de novos brincantes e continuidade de saberes e fazeres populares.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20</w:t>
            </w:r>
          </w:p>
        </w:tc>
      </w:tr>
      <w:tr>
        <w:trPr/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d)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both"/>
              <w:rPr/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Impacto sociocultural: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contribuição da ação para a democratização do acesso, a acessibilidade cultural e cidadania dos envolvidos na iniciativa cultural.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</w:t>
            </w:r>
          </w:p>
        </w:tc>
      </w:tr>
      <w:tr>
        <w:trPr/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e)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both"/>
              <w:rPr/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 xml:space="preserve">Função Pedagógica e Temática: 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>Abordagem de temas relevantes (sociais, históricos, políticos, ambientais, etc.), uso de linguagens cênicas e coreográficas para promover reflexões e autoestima dos participantes.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Sem comprovações;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Comprovações de 3 à 4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Comprovações de 5 à 6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Comprovações de 7 à 8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Comprovações de 9 à 10 anos;</w:t>
            </w:r>
          </w:p>
          <w:p>
            <w:pPr>
              <w:pStyle w:val="Contedodatabela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</w:t>
            </w:r>
          </w:p>
          <w:p>
            <w:pPr>
              <w:pStyle w:val="Contedodatabela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f)</w:t>
            </w:r>
          </w:p>
        </w:tc>
        <w:tc>
          <w:tcPr>
            <w:tcW w:w="30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both"/>
              <w:rPr/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Trajetória Histórica do Grupo: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Tempo de atuação, participação continuada nos festejos juninos de Fortaleza e comprovação da trajetória artística e comunitária.</w:t>
            </w:r>
          </w:p>
        </w:tc>
        <w:tc>
          <w:tcPr>
            <w:tcW w:w="3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Sem comprovações;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Comprovações de 3 à 4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Comprovações de 5 à 6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Comprovações de 7 à 8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/>
              <w:t>10 pontos: Comprovações de 9 à 10 anos;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before="0"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8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TOTAL GERAL DE PONTOS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bidi w:val="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2.</w:t>
      </w:r>
      <w:r>
        <w:rPr>
          <w:rFonts w:ascii="Calibri" w:hAnsi="Calibri"/>
          <w:sz w:val="22"/>
          <w:szCs w:val="22"/>
          <w:shd w:fill="auto" w:val="clear"/>
        </w:rPr>
        <w:t xml:space="preserve"> Havendo empate de pontuação entre as propostas classificadas, à Comissão de Avaliação e Seleção promoverá o desempate com prioridade para a proposta que obtiver maior pontuação na soma dos critérios </w:t>
      </w:r>
      <w:r>
        <w:rPr>
          <w:rFonts w:ascii="Calibri" w:hAnsi="Calibri"/>
          <w:b/>
          <w:bCs/>
          <w:sz w:val="22"/>
          <w:szCs w:val="22"/>
          <w:shd w:fill="auto" w:val="clear"/>
        </w:rPr>
        <w:t>“a”</w:t>
      </w:r>
      <w:r>
        <w:rPr>
          <w:rFonts w:ascii="Calibri" w:hAnsi="Calibri"/>
          <w:sz w:val="22"/>
          <w:szCs w:val="22"/>
          <w:shd w:fill="auto" w:val="clear"/>
        </w:rPr>
        <w:t>, caso persista o empate será considerada a maior pontuação na soma dos critérios</w:t>
      </w:r>
      <w:r>
        <w:rPr>
          <w:rFonts w:ascii="Calibri" w:hAnsi="Calibri"/>
          <w:b/>
          <w:bCs/>
          <w:sz w:val="22"/>
          <w:szCs w:val="22"/>
          <w:shd w:fill="auto" w:val="clear"/>
        </w:rPr>
        <w:t xml:space="preserve"> “b” </w:t>
      </w:r>
      <w:r>
        <w:rPr>
          <w:rFonts w:ascii="Calibri" w:hAnsi="Calibri"/>
          <w:sz w:val="22"/>
          <w:szCs w:val="22"/>
          <w:shd w:fill="auto" w:val="clear"/>
        </w:rPr>
        <w:t>e, assim, sucessivamente.</w:t>
      </w:r>
    </w:p>
    <w:p>
      <w:pPr>
        <w:pStyle w:val="BodyText"/>
        <w:bidi w:val="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 xml:space="preserve">3. </w:t>
      </w:r>
      <w:r>
        <w:rPr>
          <w:rFonts w:ascii="Calibri" w:hAnsi="Calibri"/>
          <w:sz w:val="22"/>
          <w:szCs w:val="22"/>
          <w:shd w:fill="auto" w:val="clear"/>
        </w:rPr>
        <w:t xml:space="preserve">Serão desclassificados as propostas que não obtiverem o mínimo de 50 (cinquenta) pontos, o equivalente a 50% do total máximo de pontuação dos critérios de avaliação previstos. </w:t>
      </w:r>
    </w:p>
    <w:p>
      <w:pPr>
        <w:pStyle w:val="BodyText"/>
        <w:bidi w:val="0"/>
        <w:spacing w:before="0" w:after="14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11"/>
      <w:ind w:hanging="0" w:left="869" w:right="600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11"/>
      <w:ind w:hanging="0" w:left="869" w:right="600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3</Pages>
  <Words>638</Words>
  <Characters>3586</Characters>
  <CharactersWithSpaces>4157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2025-09-08T13:58:02Z</dcterms:modified>
  <cp:revision>1</cp:revision>
  <dc:subject/>
  <dc:title/>
</cp:coreProperties>
</file>