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CHAMAMENTO PÚBLICO Nº 001/2025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SÃO BENEDITO -CE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7">
      <w:pPr>
        <w:shd w:fill="ffffff" w:val="clear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Rule="auto"/>
        <w:ind w:left="0" w:hanging="2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07 - FORMULÁRIO PARA PEDIDO DE RECURSO</w:t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Rule="auto"/>
        <w:ind w:left="0" w:hanging="2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567"/>
        </w:tabs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Nome da Entidade ou coletivo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Seleção/Habilitação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3">
      <w:pPr>
        <w:widowControl w:val="0"/>
        <w:spacing w:after="120" w:before="240" w:line="240" w:lineRule="auto"/>
        <w:ind w:left="0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202_.</w:t>
      </w:r>
    </w:p>
    <w:p w:rsidR="00000000" w:rsidDel="00000000" w:rsidP="00000000" w:rsidRDefault="00000000" w:rsidRPr="00000000" w14:paraId="00000014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20" w:before="240"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7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4248150</wp:posOffset>
            </wp:positionH>
            <wp:positionV relativeFrom="paragraph">
              <wp:posOffset>1955638</wp:posOffset>
            </wp:positionV>
            <wp:extent cx="2147226" cy="739375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64783" r="0" t="91487"/>
                    <a:stretch>
                      <a:fillRect/>
                    </a:stretch>
                  </pic:blipFill>
                  <pic:spPr>
                    <a:xfrm>
                      <a:off x="0" y="0"/>
                      <a:ext cx="2147226" cy="739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-447672</wp:posOffset>
          </wp:positionH>
          <wp:positionV relativeFrom="paragraph">
            <wp:posOffset>-85723</wp:posOffset>
          </wp:positionV>
          <wp:extent cx="1038225" cy="446488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15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ind w:left="0" w:hanging="2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-714373</wp:posOffset>
          </wp:positionH>
          <wp:positionV relativeFrom="paragraph">
            <wp:posOffset>-245107</wp:posOffset>
          </wp:positionV>
          <wp:extent cx="1571308" cy="895169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71308" cy="8951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ind w:left="0" w:hanging="2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ind w:left="0" w:hanging="2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line="276" w:lineRule="auto"/>
      <w:ind w:firstLine="0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2839180" cy="1243301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39180" cy="12433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Contedodoquadro" w:customStyle="1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styleId="Estilopadro" w:customStyle="1">
    <w:name w:val="Estilo padrão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sXsSqlbBT4wbStbbUbnKMoFj1Q==">CgMxLjA4AHIhMThrSkNzV3hjaUJVdUtDVWdTSnZYNHhhMFBKNTZVZkFq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2025-06-04T13:45:00Z</dcterms:created>
  <dc:creator>Iara da Costa Zannon</dc:creator>
</cp:coreProperties>
</file>