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PÚBLICO 0001/2025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SÃO BENEDITO- 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02 - CRITÉRIOS DE AVALIAÇÃO DA ETAPA DE SELEÇÃO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magenta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Avaliação da atuação da entidade cultural</w:t>
      </w: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 iniciativas culturais já desenvolvidas por comunidades, grupos e redes de colaboração.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Promove, amplia e garante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Incentiva a preservação da cultura brasileira.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Aumenta a visibilidade das diversas iniciativas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Garante acesso aos meios de fruição, produção e difusão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Protege 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Apoia e incentiva manifestações culturais populares e tradicionais.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ser certificada, a entidade precisará alcançar a pontuação mínima de 50 (cinquenta) pontos.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-571498</wp:posOffset>
          </wp:positionH>
          <wp:positionV relativeFrom="paragraph">
            <wp:posOffset>-66673</wp:posOffset>
          </wp:positionV>
          <wp:extent cx="1290638" cy="56412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290638" cy="564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7048500</wp:posOffset>
          </wp:positionH>
          <wp:positionV relativeFrom="paragraph">
            <wp:posOffset>-130497</wp:posOffset>
          </wp:positionV>
          <wp:extent cx="2125415" cy="74010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25415" cy="74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-609598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39180" cy="124330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9180" cy="12433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zvpGVz9xhh1EWQKE5ZmuLP+Ww==">CgMxLjA4AHIhMWY2TmJtMmhSRkd6dF90U1BTeVBMMzNsc0hqUkRLem9K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2025-06-04T13:39:00Z</dcterms:created>
  <dc:creator>User</dc:creator>
</cp:coreProperties>
</file>