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CHAMAMENTO PÚBLICO Nº001/2025</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2">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DE PONTOS E PONTÕES DE CULTURA DE SÃO BENEDITO-CE</w:t>
      </w:r>
      <w:r w:rsidDel="00000000" w:rsidR="00000000" w:rsidRPr="00000000">
        <w:rPr>
          <w:rtl w:val="0"/>
        </w:rPr>
      </w:r>
    </w:p>
    <w:p w:rsidR="00000000" w:rsidDel="00000000" w:rsidP="00000000" w:rsidRDefault="00000000" w:rsidRPr="00000000" w14:paraId="00000004">
      <w:pP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PREMIAÇÃO DE PONTOS E PONTÕES DE CULTURA</w:t>
      </w:r>
    </w:p>
    <w:p w:rsidR="00000000" w:rsidDel="00000000" w:rsidP="00000000" w:rsidRDefault="00000000" w:rsidRPr="00000000" w14:paraId="00000007">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tabs>
          <w:tab w:val="center" w:leader="none" w:pos="0"/>
        </w:tabs>
        <w:spacing w:after="120" w:before="12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01 – Categorias e Cotas</w:t>
      </w:r>
    </w:p>
    <w:p w:rsidR="00000000" w:rsidDel="00000000" w:rsidP="00000000" w:rsidRDefault="00000000" w:rsidRPr="00000000" w14:paraId="00000009">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A">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tbl>
      <w:tblPr>
        <w:tblStyle w:val="Table1"/>
        <w:tblW w:w="13957.79527559055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4.695636031744"/>
        <w:gridCol w:w="1864.695636031744"/>
        <w:gridCol w:w="4044.7442105100326"/>
        <w:gridCol w:w="2372.0025370109684"/>
        <w:gridCol w:w="2015.516606593135"/>
        <w:gridCol w:w="1796.1406494129299"/>
        <w:tblGridChange w:id="0">
          <w:tblGrid>
            <w:gridCol w:w="1864.695636031744"/>
            <w:gridCol w:w="1864.695636031744"/>
            <w:gridCol w:w="4044.7442105100326"/>
            <w:gridCol w:w="2372.0025370109684"/>
            <w:gridCol w:w="2015.516606593135"/>
            <w:gridCol w:w="1796.1406494129299"/>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AMPLA CONCORRÊNCIA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PARA COTAS/ENTIDADES E COLETIVOS COM TRAJETÓRIA DECLARADA E COMPROVADAMENTE LIGADAS ÀS CULTURAS POPULARES E TRADICIONAIS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TOTAL DE VAGAS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VALOR TOTAL DISPONÍVEL POR PROJETO SELECIONADO (R$)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VALOR TOTAL DO EDITAL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1">
            <w:pPr>
              <w:tabs>
                <w:tab w:val="center" w:leader="none" w:pos="0"/>
              </w:tabs>
              <w:spacing w:after="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Pontos de Cultura com ou sem constituição jurídica que possuam comprovada relevância na realização de atividades culturais.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tabs>
                <w:tab w:val="center" w:leader="none" w:pos="0"/>
              </w:tabs>
              <w:spacing w:after="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01</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24"/>
                <w:szCs w:val="24"/>
                <w:highlight w:val="yellow"/>
              </w:rPr>
            </w:pPr>
            <w:r w:rsidDel="00000000" w:rsidR="00000000" w:rsidRPr="00000000">
              <w:rPr>
                <w:sz w:val="24"/>
                <w:szCs w:val="24"/>
                <w:rtl w:val="0"/>
              </w:rPr>
              <w:t xml:space="preserve">R$ 30.711,58</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R$ 92.134,76</w:t>
            </w:r>
          </w:p>
        </w:tc>
      </w:tr>
    </w:tbl>
    <w:p w:rsidR="00000000" w:rsidDel="00000000" w:rsidP="00000000" w:rsidRDefault="00000000" w:rsidRPr="00000000" w14:paraId="00000017">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18">
      <w:pPr>
        <w:tabs>
          <w:tab w:val="center" w:leader="none" w:pos="0"/>
        </w:tabs>
        <w:spacing w:after="12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COTAS</w:t>
      </w:r>
    </w:p>
    <w:p w:rsidR="00000000" w:rsidDel="00000000" w:rsidP="00000000" w:rsidRDefault="00000000" w:rsidRPr="00000000" w14:paraId="00000019">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Orientação: 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1A">
      <w:pPr>
        <w:tabs>
          <w:tab w:val="center" w:leader="none" w:pos="0"/>
        </w:tabs>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Ente Federativo deverá considerar o conjunto de regramentos previstos na referida IN. Em especial, destaca-se:</w:t>
      </w:r>
    </w:p>
    <w:p w:rsidR="00000000" w:rsidDel="00000000" w:rsidP="00000000" w:rsidRDefault="00000000" w:rsidRPr="00000000" w14:paraId="0000001C">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CAPÍTULO II</w:t>
      </w:r>
    </w:p>
    <w:p w:rsidR="00000000" w:rsidDel="00000000" w:rsidP="00000000" w:rsidRDefault="00000000" w:rsidRPr="00000000" w14:paraId="0000001D">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POLÍTICAS DE COTAS OU RESERVA DE VAGAS</w:t>
      </w:r>
    </w:p>
    <w:p w:rsidR="00000000" w:rsidDel="00000000" w:rsidP="00000000" w:rsidRDefault="00000000" w:rsidRPr="00000000" w14:paraId="0000001E">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1F">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6º Ficam garantidas cotas em todos os editais de fomento realizados com recursos da Lei nº 14.399, de 2022, de no mínimo:</w:t>
      </w:r>
    </w:p>
    <w:p w:rsidR="00000000" w:rsidDel="00000000" w:rsidP="00000000" w:rsidRDefault="00000000" w:rsidRPr="00000000" w14:paraId="00000020">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vinte e cinco por cento das vagas para pessoas negras (pretas ou pardas);</w:t>
      </w:r>
    </w:p>
    <w:p w:rsidR="00000000" w:rsidDel="00000000" w:rsidP="00000000" w:rsidRDefault="00000000" w:rsidRPr="00000000" w14:paraId="00000021">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dez por cento das vagas para pessoas indígenas; e</w:t>
      </w:r>
    </w:p>
    <w:p w:rsidR="00000000" w:rsidDel="00000000" w:rsidP="00000000" w:rsidRDefault="00000000" w:rsidRPr="00000000" w14:paraId="00000022">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cinco por cento para pessoas com deficiência.</w:t>
      </w:r>
    </w:p>
    <w:p w:rsidR="00000000" w:rsidDel="00000000" w:rsidP="00000000" w:rsidRDefault="00000000" w:rsidRPr="00000000" w14:paraId="00000023">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24">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25">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26">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000000" w:rsidDel="00000000" w:rsidP="00000000" w:rsidRDefault="00000000" w:rsidRPr="00000000" w14:paraId="00000027">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28">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6º As cotas previstas neste artigo podem ser implementadas juntamente com:</w:t>
      </w:r>
    </w:p>
    <w:p w:rsidR="00000000" w:rsidDel="00000000" w:rsidP="00000000" w:rsidRDefault="00000000" w:rsidRPr="00000000" w14:paraId="00000029">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cotas para outros grupos sociais e;</w:t>
      </w:r>
    </w:p>
    <w:p w:rsidR="00000000" w:rsidDel="00000000" w:rsidP="00000000" w:rsidRDefault="00000000" w:rsidRPr="00000000" w14:paraId="0000002A">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outras ações afirmativas, tais como editais específicos e critérios diferenciados de pontuação.</w:t>
      </w:r>
    </w:p>
    <w:p w:rsidR="00000000" w:rsidDel="00000000" w:rsidP="00000000" w:rsidRDefault="00000000" w:rsidRPr="00000000" w14:paraId="0000002B">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2C">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2D">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2E">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2F">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30">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8º Para concorrer às cotas, os agentes culturais deverão autodeclarar-se no ato de inscrição, conforme modelos constantes nos Anexo I e II, ou outro modelo disponibilizado pelo ente federativo.</w:t>
      </w:r>
    </w:p>
    <w:p w:rsidR="00000000" w:rsidDel="00000000" w:rsidP="00000000" w:rsidRDefault="00000000" w:rsidRPr="00000000" w14:paraId="00000031">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32">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33">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34">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35">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36">
      <w:pPr>
        <w:tabs>
          <w:tab w:val="center" w:leader="none" w:pos="0"/>
        </w:tabs>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37">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V - outras estratégias com vistas a garantir que as cotas sejam destinadas a pessoas negras, indígenas ou com deficiência.</w:t>
      </w:r>
      <w:r w:rsidDel="00000000" w:rsidR="00000000" w:rsidRPr="00000000">
        <w:rPr>
          <w:rtl w:val="0"/>
        </w:rPr>
      </w:r>
    </w:p>
    <w:sectPr>
      <w:headerReference r:id="rId7" w:type="default"/>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6781800</wp:posOffset>
          </wp:positionH>
          <wp:positionV relativeFrom="paragraph">
            <wp:posOffset>-149548</wp:posOffset>
          </wp:positionV>
          <wp:extent cx="2147226" cy="739375"/>
          <wp:effectExtent b="0" l="0" r="0" t="0"/>
          <wp:wrapNone/>
          <wp:docPr id="7" name="image2.png"/>
          <a:graphic>
            <a:graphicData uri="http://schemas.openxmlformats.org/drawingml/2006/picture">
              <pic:pic>
                <pic:nvPicPr>
                  <pic:cNvPr id="0" name="image2.png"/>
                  <pic:cNvPicPr preferRelativeResize="0"/>
                </pic:nvPicPr>
                <pic:blipFill>
                  <a:blip r:embed="rId1"/>
                  <a:srcRect b="0" l="64783" r="0" t="91487"/>
                  <a:stretch>
                    <a:fillRect/>
                  </a:stretch>
                </pic:blipFill>
                <pic:spPr>
                  <a:xfrm>
                    <a:off x="0" y="0"/>
                    <a:ext cx="2147226" cy="7393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-171448</wp:posOffset>
          </wp:positionH>
          <wp:positionV relativeFrom="paragraph">
            <wp:posOffset>-44773</wp:posOffset>
          </wp:positionV>
          <wp:extent cx="1243013" cy="534187"/>
          <wp:effectExtent b="0" l="0" r="0" t="0"/>
          <wp:wrapNone/>
          <wp:docPr id="6" name="image2.png"/>
          <a:graphic>
            <a:graphicData uri="http://schemas.openxmlformats.org/drawingml/2006/picture">
              <pic:pic>
                <pic:nvPicPr>
                  <pic:cNvPr id="0" name="image2.png"/>
                  <pic:cNvPicPr preferRelativeResize="0"/>
                </pic:nvPicPr>
                <pic:blipFill>
                  <a:blip r:embed="rId1"/>
                  <a:srcRect b="1415" l="0" r="81893" t="93105"/>
                  <a:stretch>
                    <a:fillRect/>
                  </a:stretch>
                </pic:blipFill>
                <pic:spPr>
                  <a:xfrm>
                    <a:off x="0" y="0"/>
                    <a:ext cx="1243013" cy="53418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-781048</wp:posOffset>
          </wp:positionH>
          <wp:positionV relativeFrom="paragraph">
            <wp:posOffset>-342898</wp:posOffset>
          </wp:positionV>
          <wp:extent cx="1569130" cy="890588"/>
          <wp:effectExtent b="0" l="0" r="0" t="0"/>
          <wp:wrapNone/>
          <wp:docPr id="5"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t xml:space="preserve">                                                </w:t>
    </w:r>
    <w:r w:rsidDel="00000000" w:rsidR="00000000" w:rsidRPr="00000000">
      <w:rPr/>
      <w:drawing>
        <wp:inline distB="114300" distT="114300" distL="114300" distR="114300">
          <wp:extent cx="2839180" cy="1243301"/>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839180" cy="1243301"/>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qkEYYbZG1vQH8+LJUZavizrw==">CgMxLjA4AHIhMThZdlY5Um8ycXRKeWVNUnhzcDVZQUtPeWEtYUlZelZM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2025-06-04T13:37:00Z</dcterms:created>
  <dc:creator>User</dc:creator>
</cp:coreProperties>
</file>