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07/2025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MARIA HELOISA HOLANDA DE ALBUQUERQUE DE FOMENTO AOS FESTEJOS JUNINOS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FIRMAR TERMO DE EXECUÇÃO CULTURAL COM RECURSOS DA POLÍTICA NACIONAL ALDIR BLANC DE FOMENTO À CULTURA – 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6"/>
          <w:szCs w:val="26"/>
          <w:rtl w:val="0"/>
        </w:rPr>
        <w:t xml:space="preserve">ANEXO VII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Garamond" w:cs="Garamond" w:eastAsia="Garamond" w:hAnsi="Garamond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Garamond" w:cs="Garamond" w:eastAsia="Garamond" w:hAnsi="Garamond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6"/>
          <w:szCs w:val="26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10">
      <w:pPr>
        <w:spacing w:before="280" w:line="240" w:lineRule="auto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-1080127</wp:posOffset>
          </wp:positionH>
          <wp:positionV relativeFrom="paragraph">
            <wp:posOffset>-433668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70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hmAZmuiFXpEh+NgH2kfWca4q8w==">CgMxLjA4AHIhMXdTUjVIOHRTb2ZJVUVjX1U2N1pqLTF4UVF4OERUTFdK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