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07/2025</w:t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MARIA HELOISA HOLANDA DE ALBUQUERQUE DE FOMENTO AOS FESTEJOS JUNINOS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de Acopiara, que mantenho residência e domicílio na cidade de Acopiara,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Acopiara, Estado do Ceará, _____de _____de 2025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headerReference r:id="rId7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-1152520</wp:posOffset>
          </wp:positionH>
          <wp:positionV relativeFrom="paragraph">
            <wp:posOffset>-264315</wp:posOffset>
          </wp:positionV>
          <wp:extent cx="7540590" cy="10662699"/>
          <wp:effectExtent b="0" l="0" r="0" t="0"/>
          <wp:wrapNone/>
          <wp:docPr descr="Fundo preto com letras brancas&#10;&#10;Descrição gerada automaticamente" id="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706B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 w:val="1"/>
    <w:rsid w:val="0044706B"/>
    <w:pPr>
      <w:ind w:left="436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hgkelc" w:customStyle="1">
    <w:name w:val="hgkelc"/>
    <w:basedOn w:val="Fontepargpadro"/>
    <w:rsid w:val="002D6F8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cIrjAPMgpEQwhkA+8Gl3P+EDw==">CgMxLjA4AHIhMTRkWnVsdkJSSU1xZnhiMFNkT2VJb1dublNxclM2ZEhL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2025-03-09T15:09:00Z</dcterms:created>
  <dc:creator>Joelmir Pinho</dc:creator>
</cp:coreProperties>
</file>