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MESTRA DONA BAIÁ PARA PREMIAÇÃO DE PONTOS DE CULTURA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EDITAL Nº 004/2025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REDE MUNICIPAL DE PONTOS E PONTÕES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VII - FORMULÁRIO PARA PEDIDO DE RECURSO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Entidade ou Coletivo Cultural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solicitar revisão do resultado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pelos motivos abaixo: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42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20523024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after="0"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205230246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line="276" w:lineRule="auto"/>
      <w:jc w:val="center"/>
      <w:rPr>
        <w:color w:val="ff0000"/>
      </w:rPr>
    </w:pPr>
    <w:r w:rsidDel="00000000" w:rsidR="00000000" w:rsidRPr="00000000">
      <w:rPr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ind w:left="-425.19685039370086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566432" cy="709613"/>
          <wp:effectExtent b="0" l="0" r="0" t="0"/>
          <wp:docPr id="205230246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830100" cy="644652"/>
          <wp:effectExtent b="0" l="0" r="0" t="0"/>
          <wp:docPr id="205230246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939762" cy="604975"/>
          <wp:effectExtent b="0" l="0" r="0" t="0"/>
          <wp:docPr id="20523024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eeTCktZe4shrBcP3Xi9fAWAuQ==">CgMxLjA4AHIhMVZHaEFDaUZTS3YtaFA1WE9PRXN6S0JIUElQTXRHN2tO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