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nº 01/2025 PNAB PORTEIRAS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 Prefeitura Municipal de Porteiras, neste ato representado pelo Secretário Municipal de Juventude, Cultura, Esporte e Turismo, Senhor(a) </w:t>
      </w:r>
      <w:r w:rsidDel="00000000" w:rsidR="00000000" w:rsidRPr="00000000">
        <w:rPr>
          <w:rFonts w:ascii="Calibri" w:cs="Calibri" w:eastAsia="Calibri" w:hAnsi="Calibri"/>
          <w:b w:val="1"/>
          <w:sz w:val="24"/>
          <w:szCs w:val="24"/>
          <w:rtl w:val="0"/>
        </w:rPr>
        <w:t xml:space="preserve">João Diego Soares Rodrigues</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apoio a projetos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Secretaria Municipal de Cultura e Turismo:</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Secretaria Municipal de Juventude, Cultura, Esporte e Turismo de Porteiras por meio de Relatório de Execução do Objeto, apresentado no prazo máximo de 60 (sessenta) dias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Secretaria Municipal de Juventude, Cultura, Esporte e Turismo de Porteiras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w:t>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63">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12 (doze) meses, podendo ser prorrogado pelo mesmo período</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6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Site Oficial do Município.</w:t>
      </w:r>
    </w:p>
    <w:p w:rsidR="00000000" w:rsidDel="00000000" w:rsidP="00000000" w:rsidRDefault="00000000" w:rsidRPr="00000000" w14:paraId="0000006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Porteiras - CE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6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C">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6F">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-441292</wp:posOffset>
          </wp:positionV>
          <wp:extent cx="7540809" cy="10662699"/>
          <wp:effectExtent b="0" l="0" r="0" t="0"/>
          <wp:wrapNone/>
          <wp:docPr descr="Fundo preto com letras brancas&#10;&#10;Descrição gerada automaticamente" id="387604897"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5619750</wp:posOffset>
          </wp:positionH>
          <wp:positionV relativeFrom="paragraph">
            <wp:posOffset>-390524</wp:posOffset>
          </wp:positionV>
          <wp:extent cx="848678" cy="848678"/>
          <wp:effectExtent b="0" l="0" r="0" t="0"/>
          <wp:wrapNone/>
          <wp:docPr id="38760489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848678" cy="8486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AIXoPIygkoocbSOYi0E2vfHWqA==">CgMxLjA4AHIhMU9TWkVORTRzV3phTWk5VE90Snd6cGRROVdacnljdzhO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